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SLA — LIVELLI DI SERVIZIO DI ASSISTENZA E CONSULENZA — CLARYEL Box</w:t>
      </w:r>
    </w:p>
    <w:p>
      <w:r>
        <w:rPr>
          <w:b/>
        </w:rPr>
        <w:t>Versione 1.3.3 del 18.10.2026</w:t>
      </w:r>
      <w:r>
        <w:t xml:space="preserve"> (sostituisce la versione 1.3.2 del 18.10.2026; registro delle modifiche in fondo al documento)</w:t>
      </w:r>
    </w:p>
    <w:p>
      <w:r>
        <w:rPr>
          <w:b/>
        </w:rPr>
        <w:t>Fornitore:</w:t>
      </w:r>
      <w:r>
        <w:t xml:space="preserve"> CLARYEL SRLS — Via Leonardo Da Vinci 26, 22073 Fino Mornasco (CO), Italia — P.IVA 04258140138 — REA CO-431643 — PEC claryel@ultracert.it — email amministrazione@claryel.it.</w:t>
      </w:r>
    </w:p>
    <w:p>
      <w:pPr>
        <w:pStyle w:val="Heading1"/>
      </w:pPr>
      <w:r>
        <w:t>1. Oggetto e rapporto con le CGV</w:t>
      </w:r>
    </w:p>
    <w:p>
      <w:r>
        <w:t>1.1. Il presente documento ("SLA") disciplina i Piani di Assistenza e consulenza per la CLARYEL Box (Base, Plus, Pro, Individuale) e i relativi livelli di servizio. Per quanto non previsto si applicano le Condizioni Generali di Vendita B2B di CLARYEL ("CGV"), incluse le definizioni, l'ambito esclusivamente B2B, la limitazione di responsabilità (art. 16 CGV), la protezione dei dati e l'Accordo sul trattamento dei dati (art. 17 e Allegato B CGV), la legge applicabile e il foro competente (art. 29 CGV).</w:t>
      </w:r>
    </w:p>
    <w:p>
      <w:r>
        <w:t xml:space="preserve">1.2. </w:t>
      </w:r>
      <w:r>
        <w:rPr>
          <w:b/>
        </w:rPr>
        <w:t>Garanzia, obblighi di legge e abbonamento.</w:t>
      </w:r>
    </w:p>
    <w:p>
      <w:pPr>
        <w:pStyle w:val="ListBullet"/>
      </w:pPr>
      <w:r>
        <w:t xml:space="preserve">(a) La </w:t>
      </w:r>
      <w:r>
        <w:rPr>
          <w:b/>
        </w:rPr>
        <w:t>garanzia legale e la garanzia convenzionale</w:t>
      </w:r>
      <w:r>
        <w:t xml:space="preserve"> sulla Box (artt. 12–13 CGV) sono dovute indipendentemente dal Piano.</w:t>
      </w:r>
    </w:p>
    <w:p>
      <w:pPr>
        <w:pStyle w:val="ListBullet"/>
      </w:pPr>
      <w:r>
        <w:t xml:space="preserve">(b) Gli </w:t>
      </w:r>
      <w:r>
        <w:rPr>
          <w:b/>
        </w:rPr>
        <w:t>aggiornamenti di sicurezza</w:t>
      </w:r>
      <w:r>
        <w:t xml:space="preserve"> del Software CLARYEL e del sistema operativo (8 anni dalla data di vendita, inclusa la migrazione a una nuova versione supportata del sistema operativo), gli </w:t>
      </w:r>
      <w:r>
        <w:rPr>
          <w:b/>
        </w:rPr>
        <w:t>aggiornamenti di firmware e BIOS/UEFI</w:t>
      </w:r>
      <w:r>
        <w:t xml:space="preserve"> finché il produttore del componente li pubblica, e le </w:t>
      </w:r>
      <w:r>
        <w:rPr>
          <w:b/>
        </w:rPr>
        <w:t>comunicazioni di sicurezza</w:t>
      </w:r>
      <w:r>
        <w:t xml:space="preserve"> (art. 15 CGV; artt. 13, par. 8, e 14 Reg. (UE) 2024/2847 — CRA) </w:t>
      </w:r>
      <w:r>
        <w:rPr>
          <w:b/>
        </w:rPr>
        <w:t>non sono servizi in abbonamento</w:t>
      </w:r>
      <w:r>
        <w:t xml:space="preserve">; per i Livelli 1 e 2 si tratta di impegni volontari di CLARYEL, che non derivano dal Reg. (UE) n. 617/2013 sulla progettazione ecocompatibile dei computer (art. 15.8 CGV); per il Livello 3 e superiori si applica inoltre, ove applicabile, il Reg. (UE) 2019/424; per il Livello 1, il cui firmware e BIOS non ricevono più aggiornamenti dal produttore, la sicurezza è garantita a livello di sistema operativo e di software secondo l'art. 15.3-bis CGV. Tali aggiornamenti e misure sono resi disponibili gratuitamente a tutti i Clienti, anche senza Piano a pagamento e anche durante un'interruzione per mancato pagamento. Allo stesso modo, la </w:t>
      </w:r>
      <w:r>
        <w:rPr>
          <w:b/>
        </w:rPr>
        <w:t>cancellazione sicura dei dati su richiesta</w:t>
      </w:r>
      <w:r>
        <w:t xml:space="preserve"> (art. 15.6 CGV) è eseguita gratuitamente da CLARYEL, con conferma scritta, indipendentemente dal Piano.</w:t>
      </w:r>
    </w:p>
    <w:p>
      <w:pPr>
        <w:pStyle w:val="ListBullet"/>
      </w:pPr>
      <w:r>
        <w:t xml:space="preserve">(c) I </w:t>
      </w:r>
      <w:r>
        <w:rPr>
          <w:b/>
        </w:rPr>
        <w:t>Piani a pagamento</w:t>
      </w:r>
      <w:r>
        <w:t xml:space="preserve"> aggiungono ai punti (a) e (b) i servizi descritti al § 4, tra cui l'installazione assistita degli aggiornamenti, l'installazione e l'integrazione del software del Cliente e la sua manutenzione, l'intervento di specialisti su software, hardware e infrastruttura, le consulenze di business e di aggiornamento dell'infrastruttura, la priorità e il servizio individuale.</w:t>
      </w:r>
    </w:p>
    <w:p>
      <w:pPr>
        <w:pStyle w:val="Heading1"/>
      </w:pPr>
      <w:r>
        <w:t>2. Definizioni</w:t>
      </w:r>
    </w:p>
    <w:p>
      <w:pPr>
        <w:pStyle w:val="ListBullet"/>
      </w:pPr>
      <w:r>
        <w:rPr>
          <w:b/>
        </w:rPr>
        <w:t>"Richiesta" o "Ticket"</w:t>
      </w:r>
      <w:r>
        <w:t>: ogni segnalazione o domanda del Cliente inviata attraverso un Canale ufficiale (§ 5), registrata nel sistema di ticketing di CLARYEL con numero identificativo e marca temporale. Ogni Richiesta diventa un Ticket.</w:t>
      </w:r>
    </w:p>
    <w:p>
      <w:pPr>
        <w:pStyle w:val="ListBullet"/>
      </w:pPr>
      <w:r>
        <w:rPr>
          <w:b/>
        </w:rPr>
        <w:t>"Guasto critico"</w:t>
      </w:r>
      <w:r>
        <w:t>: evento che rende la Box inutilizzabile o ne compromette gravemente la sicurezza, in particolare: (a) Box che non si avvia o non è raggiungibile sulla rete locale per causa non riconducibile al Cliente (§ 13); (b) dati del Cliente sulla Box (archivio documenti, database, base di conoscenza) inaccessibili o servizi principali dello Stack Software (agenti IA, modelli, ricerca) completamente non funzionanti; (c) incidente di sicurezza sospetto o accertato (ad es. accesso non autorizzato, software dannoso rilevato) o vulnerabilità attivamente sfruttata che interessa la Box; (d) rischio concreto e imminente di perdita di dati (ad es. guasto in corso di un dispositivo di archiviazione). Il Guasto critico corrisponde alla priorità P1.</w:t>
      </w:r>
    </w:p>
    <w:p>
      <w:pPr>
        <w:pStyle w:val="ListBullet"/>
      </w:pPr>
      <w:r>
        <w:rPr>
          <w:b/>
        </w:rPr>
        <w:t>"Reazione" o "Presa in carico"</w:t>
      </w:r>
      <w:r>
        <w:t xml:space="preserve">: la </w:t>
      </w:r>
      <w:r>
        <w:rPr>
          <w:b/>
        </w:rPr>
        <w:t>prima risposta qualificata di uno Specialista</w:t>
      </w:r>
      <w:r>
        <w:t xml:space="preserve"> di CLARYEL al Ticket, con cui conferma la presa in carico e avvia la diagnosi o indica i primi passi da compiere. La Reazione </w:t>
      </w:r>
      <w:r>
        <w:rPr>
          <w:b/>
        </w:rPr>
        <w:t>non è il tempo di risoluzione</w:t>
      </w:r>
      <w:r>
        <w:t xml:space="preserve"> e non implica che il problema sia risolto entro il relativo termine. Le risposte automatiche e le risposte degli Agenti IA non costituiscono Reazione ai fini del § 8.</w:t>
      </w:r>
    </w:p>
    <w:p>
      <w:pPr>
        <w:pStyle w:val="ListBullet"/>
      </w:pPr>
      <w:r>
        <w:rPr>
          <w:b/>
        </w:rPr>
        <w:t>"Agente IA"</w:t>
      </w:r>
      <w:r>
        <w:t>: sistema di intelligenza artificiale vocale o testuale di CLARYEL che risponde alle Richieste. Il Cliente è informato che sta interagendo con un sistema di IA (art. 50, par. 1, Reg. (UE) 2024/1689 — AI Act).</w:t>
      </w:r>
    </w:p>
    <w:p>
      <w:pPr>
        <w:pStyle w:val="ListBullet"/>
      </w:pPr>
      <w:r>
        <w:rPr>
          <w:b/>
        </w:rPr>
        <w:t>"Specialista"</w:t>
      </w:r>
      <w:r>
        <w:t>: persona del personale tecnico di CLARYEL o da essa incaricata.</w:t>
      </w:r>
    </w:p>
    <w:p>
      <w:pPr>
        <w:pStyle w:val="ListBullet"/>
      </w:pPr>
      <w:r>
        <w:rPr>
          <w:b/>
        </w:rPr>
        <w:t>"Orario di assistenza"</w:t>
      </w:r>
      <w:r>
        <w:t xml:space="preserve">: dal lunedì al venerdì, dalle </w:t>
      </w:r>
      <w:r>
        <w:rPr>
          <w:b/>
        </w:rPr>
        <w:t>9:00 alle 18:00, ora di Roma (Europe/Rome)</w:t>
      </w:r>
      <w:r>
        <w:t>, nei Giorni lavorativi.</w:t>
      </w:r>
    </w:p>
    <w:p>
      <w:pPr>
        <w:pStyle w:val="ListBullet"/>
      </w:pPr>
      <w:r>
        <w:rPr>
          <w:b/>
        </w:rPr>
        <w:t>"Giorno lavorativo"</w:t>
      </w:r>
      <w:r>
        <w:t>: dal lunedì al venerdì, esclusi i giorni festivi riconosciuti in Italia.</w:t>
      </w:r>
    </w:p>
    <w:p>
      <w:pPr>
        <w:pStyle w:val="ListBullet"/>
      </w:pPr>
      <w:r>
        <w:rPr>
          <w:b/>
        </w:rPr>
        <w:t>"Ore lavorative"</w:t>
      </w:r>
      <w:r>
        <w:t>: ore comprese nell'Orario di assistenza.</w:t>
      </w:r>
    </w:p>
    <w:p>
      <w:pPr>
        <w:pStyle w:val="ListBullet"/>
      </w:pPr>
      <w:r>
        <w:rPr>
          <w:b/>
        </w:rPr>
        <w:t>"Risoluzione"</w:t>
      </w:r>
      <w:r>
        <w:t>: ripristino della funzionalità, anche mediante soluzione temporanea, o chiusura del Ticket con risposta esaustiva.</w:t>
      </w:r>
    </w:p>
    <w:p>
      <w:pPr>
        <w:pStyle w:val="ListBullet"/>
      </w:pPr>
      <w:r>
        <w:rPr>
          <w:b/>
        </w:rPr>
        <w:t>"Intervento in garanzia"</w:t>
      </w:r>
      <w:r>
        <w:t>: diagnosi e riparazione o sostituzione dovute ai sensi degli artt. 12–13 CGV.</w:t>
      </w:r>
    </w:p>
    <w:p>
      <w:pPr>
        <w:pStyle w:val="ListBullet"/>
      </w:pPr>
      <w:r>
        <w:rPr>
          <w:b/>
        </w:rPr>
        <w:t>"Finestra di manutenzione"</w:t>
      </w:r>
      <w:r>
        <w:t>: periodo concordato o comunicato in cui CLARYEL esegue interventi programmati sulla Box (§ 11).</w:t>
      </w:r>
    </w:p>
    <w:p>
      <w:pPr>
        <w:pStyle w:val="Heading1"/>
      </w:pPr>
      <w:r>
        <w:t>3. Natura del servizio: nessuna garanzia di disponibilità</w:t>
      </w:r>
    </w:p>
    <w:p>
      <w:r>
        <w:t xml:space="preserve">3.1. La Box è installata presso il Cliente ed è sotto il suo controllo fisico (alimentazione, rete, ambiente). </w:t>
      </w:r>
      <w:r>
        <w:rPr>
          <w:b/>
        </w:rPr>
        <w:t>Il presente SLA riguarda i tempi di Reazione dell'assistenza e non garantisce alcuna percentuale di disponibilità (uptime) della Box né di altri servizi.</w:t>
      </w:r>
    </w:p>
    <w:p>
      <w:r>
        <w:t>3.2. I servizi che CLARYEL utilizza per l'assistenza (sito, modulo di richiesta, pulsante Supporto, Agenti IA, ticketing, canali di messaggistica) sono forniti con ragionevole diligenza e senza garanzia di disponibilità; in caso di indisponibilità di un canale il Cliente utilizza un altro Canale ufficiale (§ 5).</w:t>
      </w:r>
    </w:p>
    <w:p>
      <w:pPr>
        <w:pStyle w:val="Heading1"/>
      </w:pPr>
      <w:r>
        <w:t>4. Piani di Assistenza</w:t>
      </w:r>
    </w:p>
    <w:p>
      <w:r>
        <w:t xml:space="preserve">4.1. Ogni Box fornita da CLARYEL include il </w:t>
      </w:r>
      <w:r>
        <w:rPr>
          <w:b/>
        </w:rPr>
        <w:t>Piano Base</w:t>
      </w:r>
      <w:r>
        <w:t xml:space="preserve"> senza corrispettivo. I Piani a pagamento possono essere ordinati e pagati anche separatamente dall'acquisto della Box. Prezzi pubblicati alla data del presente SLA:</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Pr>
                <w:b/>
                <w:sz w:val="18"/>
              </w:rPr>
            </w:r>
            <w:r>
              <w:rPr>
                <w:b/>
                <w:sz w:val="18"/>
              </w:rPr>
              <w:t>Piano</w:t>
            </w:r>
          </w:p>
        </w:tc>
        <w:tc>
          <w:tcPr>
            <w:tcW w:type="dxa" w:w="2436"/>
          </w:tcPr>
          <w:p>
            <w:r>
              <w:rPr>
                <w:b/>
                <w:sz w:val="18"/>
              </w:rPr>
            </w:r>
            <w:r>
              <w:rPr>
                <w:b/>
                <w:sz w:val="18"/>
              </w:rPr>
              <w:t>Prezzo (IVA inclusa)</w:t>
            </w:r>
          </w:p>
        </w:tc>
        <w:tc>
          <w:tcPr>
            <w:tcW w:type="dxa" w:w="2436"/>
          </w:tcPr>
          <w:p>
            <w:r>
              <w:rPr>
                <w:b/>
                <w:sz w:val="18"/>
              </w:rPr>
            </w:r>
            <w:r>
              <w:rPr>
                <w:b/>
                <w:sz w:val="18"/>
              </w:rPr>
              <w:t>Prezzo (IVA esclusa, 22%)</w:t>
            </w:r>
          </w:p>
        </w:tc>
        <w:tc>
          <w:tcPr>
            <w:tcW w:type="dxa" w:w="2436"/>
          </w:tcPr>
          <w:p>
            <w:r>
              <w:rPr>
                <w:b/>
                <w:sz w:val="18"/>
              </w:rPr>
            </w:r>
            <w:r>
              <w:rPr>
                <w:b/>
                <w:sz w:val="18"/>
              </w:rPr>
              <w:t>Contenuto</w:t>
            </w:r>
          </w:p>
        </w:tc>
      </w:tr>
      <w:tr>
        <w:tc>
          <w:tcPr>
            <w:tcW w:type="dxa" w:w="2436"/>
          </w:tcPr>
          <w:p>
            <w:r>
              <w:rPr>
                <w:sz w:val="18"/>
              </w:rPr>
            </w:r>
            <w:r>
              <w:rPr>
                <w:b/>
                <w:sz w:val="18"/>
              </w:rPr>
              <w:t>Base</w:t>
            </w:r>
          </w:p>
        </w:tc>
        <w:tc>
          <w:tcPr>
            <w:tcW w:type="dxa" w:w="2436"/>
          </w:tcPr>
          <w:p>
            <w:r>
              <w:rPr>
                <w:sz w:val="18"/>
              </w:rPr>
            </w:r>
            <w:r>
              <w:rPr>
                <w:sz w:val="18"/>
              </w:rPr>
              <w:t>0 € — incluso con la Box</w:t>
            </w:r>
          </w:p>
        </w:tc>
        <w:tc>
          <w:tcPr>
            <w:tcW w:type="dxa" w:w="2436"/>
          </w:tcPr>
          <w:p>
            <w:r>
              <w:rPr>
                <w:sz w:val="18"/>
              </w:rPr>
            </w:r>
            <w:r>
              <w:rPr>
                <w:sz w:val="18"/>
              </w:rPr>
              <w:t>—</w:t>
            </w:r>
          </w:p>
        </w:tc>
        <w:tc>
          <w:tcPr>
            <w:tcW w:type="dxa" w:w="2436"/>
          </w:tcPr>
          <w:p>
            <w:r>
              <w:rPr>
                <w:sz w:val="18"/>
              </w:rPr>
            </w:r>
            <w:r>
              <w:rPr>
                <w:sz w:val="18"/>
              </w:rPr>
              <w:t>Garanzia sulla Box secondo contratto e legge; consulenze degli Agenti IA 24/7 sull'hardware e sullo stack software CLARYEL; uno Specialista interviene solo per i casi di garanzia hardware</w:t>
            </w:r>
          </w:p>
        </w:tc>
      </w:tr>
      <w:tr>
        <w:tc>
          <w:tcPr>
            <w:tcW w:type="dxa" w:w="2436"/>
          </w:tcPr>
          <w:p>
            <w:r>
              <w:rPr>
                <w:sz w:val="18"/>
              </w:rPr>
            </w:r>
            <w:r>
              <w:rPr>
                <w:b/>
                <w:sz w:val="18"/>
              </w:rPr>
              <w:t>Plus</w:t>
            </w:r>
          </w:p>
        </w:tc>
        <w:tc>
          <w:tcPr>
            <w:tcW w:type="dxa" w:w="2436"/>
          </w:tcPr>
          <w:p>
            <w:r>
              <w:rPr>
                <w:sz w:val="18"/>
              </w:rPr>
            </w:r>
            <w:r>
              <w:rPr>
                <w:sz w:val="18"/>
              </w:rPr>
              <w:t>29,99 € al mese — 299,90 € all'anno</w:t>
            </w:r>
          </w:p>
        </w:tc>
        <w:tc>
          <w:tcPr>
            <w:tcW w:type="dxa" w:w="2436"/>
          </w:tcPr>
          <w:p>
            <w:r>
              <w:rPr>
                <w:sz w:val="18"/>
              </w:rPr>
            </w:r>
            <w:r>
              <w:rPr>
                <w:sz w:val="18"/>
              </w:rPr>
              <w:t>24,58 € al mese — 245,82 € all'anno</w:t>
            </w:r>
          </w:p>
        </w:tc>
        <w:tc>
          <w:tcPr>
            <w:tcW w:type="dxa" w:w="2436"/>
          </w:tcPr>
          <w:p>
            <w:r>
              <w:rPr>
                <w:sz w:val="18"/>
              </w:rPr>
            </w:r>
            <w:r>
              <w:rPr>
                <w:sz w:val="18"/>
              </w:rPr>
              <w:t>Tutto il Base, più installazione del software del Cliente e sua integrazione nello stack supportato; consulenza e manutenzione degli Agenti IA per l'hardware e tutto il software installato, compreso quello aggiunto dal Cliente; uno Specialista interviene solo per i casi di garanzia</w:t>
            </w:r>
          </w:p>
        </w:tc>
      </w:tr>
      <w:tr>
        <w:tc>
          <w:tcPr>
            <w:tcW w:type="dxa" w:w="2436"/>
          </w:tcPr>
          <w:p>
            <w:r>
              <w:rPr>
                <w:sz w:val="18"/>
              </w:rPr>
            </w:r>
            <w:r>
              <w:rPr>
                <w:b/>
                <w:sz w:val="18"/>
              </w:rPr>
              <w:t>Pro</w:t>
            </w:r>
          </w:p>
        </w:tc>
        <w:tc>
          <w:tcPr>
            <w:tcW w:type="dxa" w:w="2436"/>
          </w:tcPr>
          <w:p>
            <w:r>
              <w:rPr>
                <w:sz w:val="18"/>
              </w:rPr>
            </w:r>
            <w:r>
              <w:rPr>
                <w:sz w:val="18"/>
              </w:rPr>
              <w:t>149,99 € al mese — 1.499,90 € all'anno</w:t>
            </w:r>
          </w:p>
        </w:tc>
        <w:tc>
          <w:tcPr>
            <w:tcW w:type="dxa" w:w="2436"/>
          </w:tcPr>
          <w:p>
            <w:r>
              <w:rPr>
                <w:sz w:val="18"/>
              </w:rPr>
            </w:r>
            <w:r>
              <w:rPr>
                <w:sz w:val="18"/>
              </w:rPr>
              <w:t>122,94 € al mese — 1.229,43 € all'anno</w:t>
            </w:r>
          </w:p>
        </w:tc>
        <w:tc>
          <w:tcPr>
            <w:tcW w:type="dxa" w:w="2436"/>
          </w:tcPr>
          <w:p>
            <w:r>
              <w:rPr>
                <w:sz w:val="18"/>
              </w:rPr>
            </w:r>
            <w:r>
              <w:rPr>
                <w:sz w:val="18"/>
              </w:rPr>
              <w:t>Tutto il Plus, più intervento di uno Specialista per questioni software e hardware, comprese quelle avanzate sul funzionamento con le apparecchiature e l'infrastruttura del Cliente; consulenze di business; consulenze sull'aggiornamento di infrastruttura e hardware</w:t>
            </w:r>
          </w:p>
        </w:tc>
      </w:tr>
      <w:tr>
        <w:tc>
          <w:tcPr>
            <w:tcW w:type="dxa" w:w="2436"/>
          </w:tcPr>
          <w:p>
            <w:r>
              <w:rPr>
                <w:sz w:val="18"/>
              </w:rPr>
            </w:r>
            <w:r>
              <w:rPr>
                <w:b/>
                <w:sz w:val="18"/>
              </w:rPr>
              <w:t>Individuale</w:t>
            </w:r>
          </w:p>
        </w:tc>
        <w:tc>
          <w:tcPr>
            <w:tcW w:type="dxa" w:w="2436"/>
          </w:tcPr>
          <w:p>
            <w:r>
              <w:rPr>
                <w:sz w:val="18"/>
              </w:rPr>
            </w:r>
            <w:r>
              <w:rPr>
                <w:sz w:val="18"/>
              </w:rPr>
              <w:t>da 500 € al mese</w:t>
            </w:r>
          </w:p>
        </w:tc>
        <w:tc>
          <w:tcPr>
            <w:tcW w:type="dxa" w:w="2436"/>
          </w:tcPr>
          <w:p>
            <w:r>
              <w:rPr>
                <w:sz w:val="18"/>
              </w:rPr>
            </w:r>
            <w:r>
              <w:rPr>
                <w:sz w:val="18"/>
              </w:rPr>
              <w:t>da 409,84 € al mese</w:t>
            </w:r>
          </w:p>
        </w:tc>
        <w:tc>
          <w:tcPr>
            <w:tcW w:type="dxa" w:w="2436"/>
          </w:tcPr>
          <w:p>
            <w:r>
              <w:rPr>
                <w:sz w:val="18"/>
              </w:rPr>
            </w:r>
            <w:r>
              <w:rPr>
                <w:sz w:val="18"/>
              </w:rPr>
              <w:t>Tutto il Pro, più massima priorità; servizio individuale; sostituzione rapida dell'hardware con l'obiettivo di sostituire la Box entro 24 ore; condizioni concordate individualmente</w:t>
            </w:r>
          </w:p>
        </w:tc>
      </w:tr>
    </w:tbl>
    <w:p/>
    <w:p>
      <w:r>
        <w:t>4.2. Il prezzo vincolante è quello indicato nella conferma d'ordine del Piano.</w:t>
      </w:r>
    </w:p>
    <w:p>
      <w:r>
        <w:t xml:space="preserve">4.3. </w:t>
      </w:r>
      <w:r>
        <w:rPr>
          <w:b/>
        </w:rPr>
        <w:t>Promozioni.</w:t>
      </w:r>
      <w:r>
        <w:t xml:space="preserve"> Le promozioni pubblicate sul sito si applicano secondo i termini ivi pubblicati. Alla data del presente SLA si applicano le seguenti: </w:t>
      </w:r>
      <w:r>
        <w:rPr>
          <w:i/>
        </w:rPr>
        <w:t>«2 mesi in omaggio: pagate 10 mesi»</w:t>
      </w:r>
      <w:r>
        <w:t xml:space="preserve">; </w:t>
      </w:r>
      <w:r>
        <w:rPr>
          <w:i/>
        </w:rPr>
        <w:t>«Offerta di lancio — Il primo mese di assistenza è gratuito con qualsiasi piano di supporto.»</w:t>
      </w:r>
      <w:r>
        <w:t xml:space="preserve">; </w:t>
      </w:r>
      <w:r>
        <w:rPr>
          <w:i/>
        </w:rPr>
        <w:t>«Prime 10 vendite — Sei mesi del piano Individuale, che altrimenti parte da 500 € al mese: i primi 3 mesi sono gratuiti, poi 3 mesi alla tariffa minima a pagamento di 29,99 €: in totale 89,97 € per sei mesi.»</w:t>
      </w:r>
      <w:r>
        <w:t xml:space="preserve"> Al termine del periodo promozionale il Piano prosegue solo se il Cliente lo conferma. In caso di differenza tra il sito e il presente § 4.3, si applica il presente § 4.3.</w:t>
      </w:r>
    </w:p>
    <w:p>
      <w:r>
        <w:t>4.3-bis (abrogato).</w:t>
      </w:r>
    </w:p>
    <w:p>
      <w:r>
        <w:t>4.4. L'aggiornamento dell'hardware nell'ambito di un Piano consiste in consulenza e nella selezione di componenti e configurazione; l'hardware si paga a parte.</w:t>
      </w:r>
    </w:p>
    <w:p>
      <w:r>
        <w:t>4.5. Gli interventi presso la sede del Cliente non sono inclusi in alcun Piano; eventuali servizi on-site sono offerti su preventivo separato.</w:t>
      </w:r>
    </w:p>
    <w:p>
      <w:pPr>
        <w:pStyle w:val="Heading1"/>
      </w:pPr>
      <w:r>
        <w:t>5. Canali ufficiali</w:t>
      </w:r>
    </w:p>
    <w:p>
      <w:r>
        <w:t>5.1. Le Richieste si inviano attraverso i seguenti canali:</w:t>
      </w:r>
    </w:p>
    <w:p>
      <w:pPr>
        <w:pStyle w:val="ListBullet"/>
      </w:pPr>
      <w:r>
        <w:t xml:space="preserve">il pulsante </w:t>
      </w:r>
      <w:r>
        <w:rPr>
          <w:b/>
        </w:rPr>
        <w:t>Supporto</w:t>
      </w:r>
      <w:r>
        <w:t xml:space="preserve"> sul sito (voce o testo, per gli utenti autenticati, con possibilità di allegare screenshot) e il modulo di richiesta;</w:t>
      </w:r>
    </w:p>
    <w:p>
      <w:pPr>
        <w:pStyle w:val="ListBullet"/>
      </w:pPr>
      <w:r>
        <w:t>l'</w:t>
      </w:r>
      <w:r>
        <w:rPr>
          <w:b/>
        </w:rPr>
        <w:t>email</w:t>
      </w:r>
      <w:r>
        <w:t xml:space="preserve"> amministrazione@claryel.it;</w:t>
      </w:r>
    </w:p>
    <w:p>
      <w:pPr>
        <w:pStyle w:val="ListBullet"/>
      </w:pPr>
      <w:r>
        <w:t xml:space="preserve">i canali </w:t>
      </w:r>
      <w:r>
        <w:rPr>
          <w:b/>
        </w:rPr>
        <w:t>Telegram</w:t>
      </w:r>
      <w:r>
        <w:t xml:space="preserve"> e </w:t>
      </w:r>
      <w:r>
        <w:rPr>
          <w:b/>
        </w:rPr>
        <w:t>WhatsApp</w:t>
      </w:r>
      <w:r>
        <w:t xml:space="preserve"> indicati nella pagina Supporto del sito, solo per messaggi di testo e vocali.</w:t>
      </w:r>
    </w:p>
    <w:p>
      <w:r>
        <w:t>5.2. L'assistenza telefonica non è inclusa nel presente SLA.</w:t>
      </w:r>
    </w:p>
    <w:p>
      <w:r>
        <w:t>5.3. Per i Guasti critici il Cliente indica espressamente "GUASTO CRITICO" o "P1" e fornisce un recapito raggiungibile.</w:t>
      </w:r>
    </w:p>
    <w:p>
      <w:r>
        <w:t>5.4. Per le comunicazioni con effetti contrattuali si utilizza la PEC claryel@ultracert.it.</w:t>
      </w:r>
    </w:p>
    <w:p>
      <w:pPr>
        <w:pStyle w:val="Heading1"/>
      </w:pPr>
      <w:r>
        <w:t>6. Orari di servizio</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Pr>
                <w:b/>
                <w:sz w:val="18"/>
              </w:rPr>
            </w:r>
          </w:p>
        </w:tc>
        <w:tc>
          <w:tcPr>
            <w:tcW w:type="dxa" w:w="1949"/>
          </w:tcPr>
          <w:p>
            <w:r>
              <w:rPr>
                <w:b/>
                <w:sz w:val="18"/>
              </w:rPr>
            </w:r>
            <w:r>
              <w:rPr>
                <w:b/>
                <w:sz w:val="18"/>
              </w:rPr>
              <w:t>Base</w:t>
            </w:r>
          </w:p>
        </w:tc>
        <w:tc>
          <w:tcPr>
            <w:tcW w:type="dxa" w:w="1949"/>
          </w:tcPr>
          <w:p>
            <w:r>
              <w:rPr>
                <w:b/>
                <w:sz w:val="18"/>
              </w:rPr>
            </w:r>
            <w:r>
              <w:rPr>
                <w:b/>
                <w:sz w:val="18"/>
              </w:rPr>
              <w:t>Plus</w:t>
            </w:r>
          </w:p>
        </w:tc>
        <w:tc>
          <w:tcPr>
            <w:tcW w:type="dxa" w:w="1949"/>
          </w:tcPr>
          <w:p>
            <w:r>
              <w:rPr>
                <w:b/>
                <w:sz w:val="18"/>
              </w:rPr>
            </w:r>
            <w:r>
              <w:rPr>
                <w:b/>
                <w:sz w:val="18"/>
              </w:rPr>
              <w:t>Pro</w:t>
            </w:r>
          </w:p>
        </w:tc>
        <w:tc>
          <w:tcPr>
            <w:tcW w:type="dxa" w:w="1949"/>
          </w:tcPr>
          <w:p>
            <w:r>
              <w:rPr>
                <w:b/>
                <w:sz w:val="18"/>
              </w:rPr>
            </w:r>
            <w:r>
              <w:rPr>
                <w:b/>
                <w:sz w:val="18"/>
              </w:rPr>
              <w:t>Individuale</w:t>
            </w:r>
          </w:p>
        </w:tc>
      </w:tr>
      <w:tr>
        <w:tc>
          <w:tcPr>
            <w:tcW w:type="dxa" w:w="1949"/>
          </w:tcPr>
          <w:p>
            <w:r>
              <w:rPr>
                <w:sz w:val="18"/>
              </w:rPr>
            </w:r>
            <w:r>
              <w:rPr>
                <w:sz w:val="18"/>
              </w:rPr>
              <w:t>Agenti IA</w:t>
            </w:r>
          </w:p>
        </w:tc>
        <w:tc>
          <w:tcPr>
            <w:tcW w:type="dxa" w:w="1949"/>
          </w:tcPr>
          <w:p>
            <w:r>
              <w:rPr>
                <w:sz w:val="18"/>
              </w:rPr>
            </w:r>
            <w:r>
              <w:rPr>
                <w:sz w:val="18"/>
              </w:rPr>
              <w:t>risposta immediata, 24/7</w:t>
            </w:r>
          </w:p>
        </w:tc>
        <w:tc>
          <w:tcPr>
            <w:tcW w:type="dxa" w:w="1949"/>
          </w:tcPr>
          <w:p>
            <w:r>
              <w:rPr>
                <w:sz w:val="18"/>
              </w:rPr>
            </w:r>
            <w:r>
              <w:rPr>
                <w:sz w:val="18"/>
              </w:rPr>
              <w:t>risposta immediata, 24/7</w:t>
            </w:r>
          </w:p>
        </w:tc>
        <w:tc>
          <w:tcPr>
            <w:tcW w:type="dxa" w:w="1949"/>
          </w:tcPr>
          <w:p>
            <w:r>
              <w:rPr>
                <w:sz w:val="18"/>
              </w:rPr>
            </w:r>
            <w:r>
              <w:rPr>
                <w:sz w:val="18"/>
              </w:rPr>
              <w:t>risposta immediata, 24/7</w:t>
            </w:r>
          </w:p>
        </w:tc>
        <w:tc>
          <w:tcPr>
            <w:tcW w:type="dxa" w:w="1949"/>
          </w:tcPr>
          <w:p>
            <w:r>
              <w:rPr>
                <w:sz w:val="18"/>
              </w:rPr>
            </w:r>
            <w:r>
              <w:rPr>
                <w:sz w:val="18"/>
              </w:rPr>
              <w:t>risposta immediata, 24/7</w:t>
            </w:r>
          </w:p>
        </w:tc>
      </w:tr>
      <w:tr>
        <w:tc>
          <w:tcPr>
            <w:tcW w:type="dxa" w:w="1949"/>
          </w:tcPr>
          <w:p>
            <w:r>
              <w:rPr>
                <w:sz w:val="18"/>
              </w:rPr>
            </w:r>
            <w:r>
              <w:rPr>
                <w:sz w:val="18"/>
              </w:rPr>
              <w:t>Specialisti</w:t>
            </w:r>
          </w:p>
        </w:tc>
        <w:tc>
          <w:tcPr>
            <w:tcW w:type="dxa" w:w="1949"/>
          </w:tcPr>
          <w:p>
            <w:r>
              <w:rPr>
                <w:sz w:val="18"/>
              </w:rPr>
            </w:r>
            <w:r>
              <w:rPr>
                <w:sz w:val="18"/>
              </w:rPr>
              <w:t>Orario di assistenza</w:t>
            </w:r>
          </w:p>
        </w:tc>
        <w:tc>
          <w:tcPr>
            <w:tcW w:type="dxa" w:w="1949"/>
          </w:tcPr>
          <w:p>
            <w:r>
              <w:rPr>
                <w:sz w:val="18"/>
              </w:rPr>
            </w:r>
            <w:r>
              <w:rPr>
                <w:sz w:val="18"/>
              </w:rPr>
              <w:t>Orario di assistenza</w:t>
            </w:r>
          </w:p>
        </w:tc>
        <w:tc>
          <w:tcPr>
            <w:tcW w:type="dxa" w:w="1949"/>
          </w:tcPr>
          <w:p>
            <w:r>
              <w:rPr>
                <w:sz w:val="18"/>
              </w:rPr>
            </w:r>
            <w:r>
              <w:rPr>
                <w:sz w:val="18"/>
              </w:rPr>
              <w:t>Orario di assistenza</w:t>
            </w:r>
          </w:p>
        </w:tc>
        <w:tc>
          <w:tcPr>
            <w:tcW w:type="dxa" w:w="1949"/>
          </w:tcPr>
          <w:p>
            <w:r>
              <w:rPr>
                <w:sz w:val="18"/>
              </w:rPr>
            </w:r>
            <w:r>
              <w:rPr>
                <w:sz w:val="18"/>
              </w:rPr>
              <w:t>Orario di assistenza; per i Guasti critici 24/7</w:t>
            </w:r>
          </w:p>
        </w:tc>
      </w:tr>
      <w:tr>
        <w:tc>
          <w:tcPr>
            <w:tcW w:type="dxa" w:w="1949"/>
          </w:tcPr>
          <w:p>
            <w:r>
              <w:rPr>
                <w:sz w:val="18"/>
              </w:rPr>
            </w:r>
            <w:r>
              <w:rPr>
                <w:sz w:val="18"/>
              </w:rPr>
              <w:t>Ambito dell'intervento dello Specialista</w:t>
            </w:r>
          </w:p>
        </w:tc>
        <w:tc>
          <w:tcPr>
            <w:tcW w:type="dxa" w:w="1949"/>
          </w:tcPr>
          <w:p>
            <w:r>
              <w:rPr>
                <w:sz w:val="18"/>
              </w:rPr>
            </w:r>
            <w:r>
              <w:rPr>
                <w:sz w:val="18"/>
              </w:rPr>
              <w:t>casi di garanzia hardware</w:t>
            </w:r>
          </w:p>
        </w:tc>
        <w:tc>
          <w:tcPr>
            <w:tcW w:type="dxa" w:w="1949"/>
          </w:tcPr>
          <w:p>
            <w:r>
              <w:rPr>
                <w:sz w:val="18"/>
              </w:rPr>
            </w:r>
            <w:r>
              <w:rPr>
                <w:sz w:val="18"/>
              </w:rPr>
              <w:t>casi di garanzia</w:t>
            </w:r>
          </w:p>
        </w:tc>
        <w:tc>
          <w:tcPr>
            <w:tcW w:type="dxa" w:w="1949"/>
          </w:tcPr>
          <w:p>
            <w:r>
              <w:rPr>
                <w:sz w:val="18"/>
              </w:rPr>
            </w:r>
            <w:r>
              <w:rPr>
                <w:sz w:val="18"/>
              </w:rPr>
              <w:t>software, hardware, infrastruttura</w:t>
            </w:r>
          </w:p>
        </w:tc>
        <w:tc>
          <w:tcPr>
            <w:tcW w:type="dxa" w:w="1949"/>
          </w:tcPr>
          <w:p>
            <w:r>
              <w:rPr>
                <w:sz w:val="18"/>
              </w:rPr>
            </w:r>
            <w:r>
              <w:rPr>
                <w:sz w:val="18"/>
              </w:rPr>
              <w:t>massima priorità, servizio individuale</w:t>
            </w:r>
          </w:p>
        </w:tc>
      </w:tr>
    </w:tbl>
    <w:p/>
    <w:p>
      <w:r>
        <w:t>6.1. Gli Agenti IA rispondono immediatamente, 24 ore su 24 e 7 giorni su 7, su tutti i Piani. Le loro risposte sono di supporto e non sostituiscono la Reazione dello Specialista.</w:t>
      </w:r>
    </w:p>
    <w:p>
      <w:pPr>
        <w:pStyle w:val="Heading1"/>
      </w:pPr>
      <w:r>
        <w:t>7. Priorità</w:t>
      </w:r>
    </w:p>
    <w:tbl>
      <w:tblPr>
        <w:tblStyle w:val="TableGrid"/>
        <w:tblW w:type="auto" w:w="0"/>
        <w:tblLook w:firstColumn="1" w:firstRow="1" w:lastColumn="0" w:lastRow="0" w:noHBand="0" w:noVBand="1" w:val="04A0"/>
      </w:tblPr>
      <w:tblGrid>
        <w:gridCol w:w="3249"/>
        <w:gridCol w:w="3249"/>
        <w:gridCol w:w="3249"/>
      </w:tblGrid>
      <w:tr>
        <w:tc>
          <w:tcPr>
            <w:tcW w:type="dxa" w:w="3249"/>
          </w:tcPr>
          <w:p>
            <w:r>
              <w:rPr>
                <w:b/>
                <w:sz w:val="18"/>
              </w:rPr>
            </w:r>
            <w:r>
              <w:rPr>
                <w:b/>
                <w:sz w:val="18"/>
              </w:rPr>
              <w:t>Priorità</w:t>
            </w:r>
          </w:p>
        </w:tc>
        <w:tc>
          <w:tcPr>
            <w:tcW w:type="dxa" w:w="3249"/>
          </w:tcPr>
          <w:p>
            <w:r>
              <w:rPr>
                <w:b/>
                <w:sz w:val="18"/>
              </w:rPr>
            </w:r>
            <w:r>
              <w:rPr>
                <w:b/>
                <w:sz w:val="18"/>
              </w:rPr>
              <w:t>Definizione</w:t>
            </w:r>
          </w:p>
        </w:tc>
        <w:tc>
          <w:tcPr>
            <w:tcW w:type="dxa" w:w="3249"/>
          </w:tcPr>
          <w:p>
            <w:r>
              <w:rPr>
                <w:b/>
                <w:sz w:val="18"/>
              </w:rPr>
            </w:r>
            <w:r>
              <w:rPr>
                <w:b/>
                <w:sz w:val="18"/>
              </w:rPr>
              <w:t>Esempi</w:t>
            </w:r>
          </w:p>
        </w:tc>
      </w:tr>
      <w:tr>
        <w:tc>
          <w:tcPr>
            <w:tcW w:type="dxa" w:w="3249"/>
          </w:tcPr>
          <w:p>
            <w:r>
              <w:rPr>
                <w:sz w:val="18"/>
              </w:rPr>
            </w:r>
            <w:r>
              <w:rPr>
                <w:b/>
                <w:sz w:val="18"/>
              </w:rPr>
              <w:t>P1 — Critica</w:t>
            </w:r>
          </w:p>
        </w:tc>
        <w:tc>
          <w:tcPr>
            <w:tcW w:type="dxa" w:w="3249"/>
          </w:tcPr>
          <w:p>
            <w:r>
              <w:rPr>
                <w:sz w:val="18"/>
              </w:rPr>
            </w:r>
            <w:r>
              <w:rPr>
                <w:sz w:val="18"/>
              </w:rPr>
              <w:t>Guasto critico (§ 2)</w:t>
            </w:r>
          </w:p>
        </w:tc>
        <w:tc>
          <w:tcPr>
            <w:tcW w:type="dxa" w:w="3249"/>
          </w:tcPr>
          <w:p>
            <w:r>
              <w:rPr>
                <w:sz w:val="18"/>
              </w:rPr>
            </w:r>
            <w:r>
              <w:rPr>
                <w:sz w:val="18"/>
              </w:rPr>
              <w:t>La Box non si avvia; dati inaccessibili; incidente di sicurezza; vulnerabilità attivamente sfruttata</w:t>
            </w:r>
          </w:p>
        </w:tc>
      </w:tr>
      <w:tr>
        <w:tc>
          <w:tcPr>
            <w:tcW w:type="dxa" w:w="3249"/>
          </w:tcPr>
          <w:p>
            <w:r>
              <w:rPr>
                <w:sz w:val="18"/>
              </w:rPr>
            </w:r>
            <w:r>
              <w:rPr>
                <w:b/>
                <w:sz w:val="18"/>
              </w:rPr>
              <w:t>P2 — Alta</w:t>
            </w:r>
          </w:p>
        </w:tc>
        <w:tc>
          <w:tcPr>
            <w:tcW w:type="dxa" w:w="3249"/>
          </w:tcPr>
          <w:p>
            <w:r>
              <w:rPr>
                <w:sz w:val="18"/>
              </w:rPr>
            </w:r>
            <w:r>
              <w:rPr>
                <w:sz w:val="18"/>
              </w:rPr>
              <w:t>Funzionalità importante degradata, con impatto rilevante sull'operatività, ma Box utilizzabile</w:t>
            </w:r>
          </w:p>
        </w:tc>
        <w:tc>
          <w:tcPr>
            <w:tcW w:type="dxa" w:w="3249"/>
          </w:tcPr>
          <w:p>
            <w:r>
              <w:rPr>
                <w:sz w:val="18"/>
              </w:rPr>
            </w:r>
            <w:r>
              <w:rPr>
                <w:sz w:val="18"/>
              </w:rPr>
              <w:t>Un modello o un agente non funziona; backup non riuscito; prestazioni fortemente ridotte</w:t>
            </w:r>
          </w:p>
        </w:tc>
      </w:tr>
      <w:tr>
        <w:tc>
          <w:tcPr>
            <w:tcW w:type="dxa" w:w="3249"/>
          </w:tcPr>
          <w:p>
            <w:r>
              <w:rPr>
                <w:sz w:val="18"/>
              </w:rPr>
            </w:r>
            <w:r>
              <w:rPr>
                <w:b/>
                <w:sz w:val="18"/>
              </w:rPr>
              <w:t>P3 — Normale</w:t>
            </w:r>
          </w:p>
        </w:tc>
        <w:tc>
          <w:tcPr>
            <w:tcW w:type="dxa" w:w="3249"/>
          </w:tcPr>
          <w:p>
            <w:r>
              <w:rPr>
                <w:sz w:val="18"/>
              </w:rPr>
            </w:r>
            <w:r>
              <w:rPr>
                <w:sz w:val="18"/>
              </w:rPr>
              <w:t>Problema circoscritto o con soluzione temporanea disponibile</w:t>
            </w:r>
          </w:p>
        </w:tc>
        <w:tc>
          <w:tcPr>
            <w:tcW w:type="dxa" w:w="3249"/>
          </w:tcPr>
          <w:p>
            <w:r>
              <w:rPr>
                <w:sz w:val="18"/>
              </w:rPr>
            </w:r>
            <w:r>
              <w:rPr>
                <w:sz w:val="18"/>
              </w:rPr>
              <w:t>Errore in una funzione secondaria; configurazione da correggere</w:t>
            </w:r>
          </w:p>
        </w:tc>
      </w:tr>
      <w:tr>
        <w:tc>
          <w:tcPr>
            <w:tcW w:type="dxa" w:w="3249"/>
          </w:tcPr>
          <w:p>
            <w:r>
              <w:rPr>
                <w:sz w:val="18"/>
              </w:rPr>
            </w:r>
            <w:r>
              <w:rPr>
                <w:b/>
                <w:sz w:val="18"/>
              </w:rPr>
              <w:t>P4 — Bassa</w:t>
            </w:r>
          </w:p>
        </w:tc>
        <w:tc>
          <w:tcPr>
            <w:tcW w:type="dxa" w:w="3249"/>
          </w:tcPr>
          <w:p>
            <w:r>
              <w:rPr>
                <w:sz w:val="18"/>
              </w:rPr>
            </w:r>
            <w:r>
              <w:rPr>
                <w:sz w:val="18"/>
              </w:rPr>
              <w:t>Richiesta di informazioni, consulenza, modifica o nuova installazione</w:t>
            </w:r>
          </w:p>
        </w:tc>
        <w:tc>
          <w:tcPr>
            <w:tcW w:type="dxa" w:w="3249"/>
          </w:tcPr>
          <w:p>
            <w:r>
              <w:rPr>
                <w:sz w:val="18"/>
              </w:rPr>
            </w:r>
            <w:r>
              <w:rPr>
                <w:sz w:val="18"/>
              </w:rPr>
              <w:t>Domande d'uso; installazione di nuovo software (Plus e superiori); consulenze (Pro e superiori)</w:t>
            </w:r>
          </w:p>
        </w:tc>
      </w:tr>
    </w:tbl>
    <w:p/>
    <w:p>
      <w:r>
        <w:t>7.1. La priorità è proposta dal Cliente e confermata da CLARYEL in buona fede sulla base delle definizioni; in caso di disaccordo il Cliente può chiedere l'escalation (§ 15).</w:t>
      </w:r>
    </w:p>
    <w:p>
      <w:pPr>
        <w:pStyle w:val="Heading1"/>
      </w:pPr>
      <w:r>
        <w:t>8. Tempi di Reazione</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r>
              <w:rPr>
                <w:b/>
                <w:sz w:val="18"/>
              </w:rPr>
            </w:r>
          </w:p>
        </w:tc>
        <w:tc>
          <w:tcPr>
            <w:tcW w:type="dxa" w:w="1949"/>
          </w:tcPr>
          <w:p>
            <w:r>
              <w:rPr>
                <w:b/>
                <w:sz w:val="18"/>
              </w:rPr>
            </w:r>
            <w:r>
              <w:rPr>
                <w:b/>
                <w:sz w:val="18"/>
              </w:rPr>
              <w:t>Base</w:t>
            </w:r>
          </w:p>
        </w:tc>
        <w:tc>
          <w:tcPr>
            <w:tcW w:type="dxa" w:w="1949"/>
          </w:tcPr>
          <w:p>
            <w:r>
              <w:rPr>
                <w:b/>
                <w:sz w:val="18"/>
              </w:rPr>
            </w:r>
            <w:r>
              <w:rPr>
                <w:b/>
                <w:sz w:val="18"/>
              </w:rPr>
              <w:t>Plus</w:t>
            </w:r>
          </w:p>
        </w:tc>
        <w:tc>
          <w:tcPr>
            <w:tcW w:type="dxa" w:w="1949"/>
          </w:tcPr>
          <w:p>
            <w:r>
              <w:rPr>
                <w:b/>
                <w:sz w:val="18"/>
              </w:rPr>
            </w:r>
            <w:r>
              <w:rPr>
                <w:b/>
                <w:sz w:val="18"/>
              </w:rPr>
              <w:t>Pro</w:t>
            </w:r>
          </w:p>
        </w:tc>
        <w:tc>
          <w:tcPr>
            <w:tcW w:type="dxa" w:w="1949"/>
          </w:tcPr>
          <w:p>
            <w:r>
              <w:rPr>
                <w:b/>
                <w:sz w:val="18"/>
              </w:rPr>
            </w:r>
            <w:r>
              <w:rPr>
                <w:b/>
                <w:sz w:val="18"/>
              </w:rPr>
              <w:t>Individuale</w:t>
            </w:r>
          </w:p>
        </w:tc>
      </w:tr>
      <w:tr>
        <w:tc>
          <w:tcPr>
            <w:tcW w:type="dxa" w:w="1949"/>
          </w:tcPr>
          <w:p>
            <w:r>
              <w:rPr>
                <w:sz w:val="18"/>
              </w:rPr>
            </w:r>
            <w:r>
              <w:rPr>
                <w:sz w:val="18"/>
              </w:rPr>
              <w:t>Risposta degli Agenti IA</w:t>
            </w:r>
          </w:p>
        </w:tc>
        <w:tc>
          <w:tcPr>
            <w:tcW w:type="dxa" w:w="1949"/>
          </w:tcPr>
          <w:p>
            <w:r>
              <w:rPr>
                <w:sz w:val="18"/>
              </w:rPr>
            </w:r>
            <w:r>
              <w:rPr>
                <w:sz w:val="18"/>
              </w:rPr>
              <w:t>immediata, 24/7</w:t>
            </w:r>
          </w:p>
        </w:tc>
        <w:tc>
          <w:tcPr>
            <w:tcW w:type="dxa" w:w="1949"/>
          </w:tcPr>
          <w:p>
            <w:r>
              <w:rPr>
                <w:sz w:val="18"/>
              </w:rPr>
            </w:r>
            <w:r>
              <w:rPr>
                <w:sz w:val="18"/>
              </w:rPr>
              <w:t>immediata, 24/7</w:t>
            </w:r>
          </w:p>
        </w:tc>
        <w:tc>
          <w:tcPr>
            <w:tcW w:type="dxa" w:w="1949"/>
          </w:tcPr>
          <w:p>
            <w:r>
              <w:rPr>
                <w:sz w:val="18"/>
              </w:rPr>
            </w:r>
            <w:r>
              <w:rPr>
                <w:sz w:val="18"/>
              </w:rPr>
              <w:t>immediata, 24/7</w:t>
            </w:r>
          </w:p>
        </w:tc>
        <w:tc>
          <w:tcPr>
            <w:tcW w:type="dxa" w:w="1949"/>
          </w:tcPr>
          <w:p>
            <w:r>
              <w:rPr>
                <w:sz w:val="18"/>
              </w:rPr>
            </w:r>
            <w:r>
              <w:rPr>
                <w:sz w:val="18"/>
              </w:rPr>
              <w:t>immediata, 24/7</w:t>
            </w:r>
          </w:p>
        </w:tc>
      </w:tr>
      <w:tr>
        <w:tc>
          <w:tcPr>
            <w:tcW w:type="dxa" w:w="1949"/>
          </w:tcPr>
          <w:p>
            <w:r>
              <w:rPr>
                <w:sz w:val="18"/>
              </w:rPr>
            </w:r>
            <w:r>
              <w:rPr>
                <w:sz w:val="18"/>
              </w:rPr>
              <w:t>Reazione dello Specialista a un Ticket (P2–P4)</w:t>
            </w:r>
          </w:p>
        </w:tc>
        <w:tc>
          <w:tcPr>
            <w:tcW w:type="dxa" w:w="1949"/>
          </w:tcPr>
          <w:p>
            <w:r>
              <w:rPr>
                <w:sz w:val="18"/>
              </w:rPr>
            </w:r>
            <w:r>
              <w:rPr>
                <w:sz w:val="18"/>
              </w:rPr>
              <w:t>entro 4 Ore lavorative</w:t>
            </w:r>
          </w:p>
        </w:tc>
        <w:tc>
          <w:tcPr>
            <w:tcW w:type="dxa" w:w="1949"/>
          </w:tcPr>
          <w:p>
            <w:r>
              <w:rPr>
                <w:sz w:val="18"/>
              </w:rPr>
            </w:r>
            <w:r>
              <w:rPr>
                <w:sz w:val="18"/>
              </w:rPr>
              <w:t>entro 4 Ore lavorative</w:t>
            </w:r>
          </w:p>
        </w:tc>
        <w:tc>
          <w:tcPr>
            <w:tcW w:type="dxa" w:w="1949"/>
          </w:tcPr>
          <w:p>
            <w:r>
              <w:rPr>
                <w:sz w:val="18"/>
              </w:rPr>
            </w:r>
            <w:r>
              <w:rPr>
                <w:sz w:val="18"/>
              </w:rPr>
              <w:t>entro 4 Ore lavorative</w:t>
            </w:r>
          </w:p>
        </w:tc>
        <w:tc>
          <w:tcPr>
            <w:tcW w:type="dxa" w:w="1949"/>
          </w:tcPr>
          <w:p>
            <w:r>
              <w:rPr>
                <w:sz w:val="18"/>
              </w:rPr>
            </w:r>
            <w:r>
              <w:rPr>
                <w:sz w:val="18"/>
              </w:rPr>
              <w:t>entro 4 Ore lavorative</w:t>
            </w:r>
          </w:p>
        </w:tc>
      </w:tr>
      <w:tr>
        <w:tc>
          <w:tcPr>
            <w:tcW w:type="dxa" w:w="1949"/>
          </w:tcPr>
          <w:p>
            <w:r>
              <w:rPr>
                <w:sz w:val="18"/>
              </w:rPr>
            </w:r>
            <w:r>
              <w:rPr>
                <w:sz w:val="18"/>
              </w:rPr>
              <w:t>Reazione dello Specialista a un Guasto critico (P1)</w:t>
            </w:r>
          </w:p>
        </w:tc>
        <w:tc>
          <w:tcPr>
            <w:tcW w:type="dxa" w:w="1949"/>
          </w:tcPr>
          <w:p>
            <w:r>
              <w:rPr>
                <w:sz w:val="18"/>
              </w:rPr>
            </w:r>
            <w:r>
              <w:rPr>
                <w:sz w:val="18"/>
              </w:rPr>
              <w:t>entro 1 ora, nell'Orario di assistenza</w:t>
            </w:r>
          </w:p>
        </w:tc>
        <w:tc>
          <w:tcPr>
            <w:tcW w:type="dxa" w:w="1949"/>
          </w:tcPr>
          <w:p>
            <w:r>
              <w:rPr>
                <w:sz w:val="18"/>
              </w:rPr>
            </w:r>
            <w:r>
              <w:rPr>
                <w:sz w:val="18"/>
              </w:rPr>
              <w:t>entro 1 ora, nell'Orario di assistenza</w:t>
            </w:r>
          </w:p>
        </w:tc>
        <w:tc>
          <w:tcPr>
            <w:tcW w:type="dxa" w:w="1949"/>
          </w:tcPr>
          <w:p>
            <w:r>
              <w:rPr>
                <w:sz w:val="18"/>
              </w:rPr>
            </w:r>
            <w:r>
              <w:rPr>
                <w:sz w:val="18"/>
              </w:rPr>
              <w:t>entro 1 ora, nell'Orario di assistenza</w:t>
            </w:r>
          </w:p>
        </w:tc>
        <w:tc>
          <w:tcPr>
            <w:tcW w:type="dxa" w:w="1949"/>
          </w:tcPr>
          <w:p>
            <w:r>
              <w:rPr>
                <w:sz w:val="18"/>
              </w:rPr>
            </w:r>
            <w:r>
              <w:rPr>
                <w:b/>
                <w:sz w:val="18"/>
              </w:rPr>
              <w:t>entro 1 ora, 24/7</w:t>
            </w:r>
          </w:p>
        </w:tc>
      </w:tr>
    </w:tbl>
    <w:p/>
    <w:p>
      <w:r>
        <w:t xml:space="preserve">8.1. </w:t>
      </w:r>
      <w:r>
        <w:rPr>
          <w:b/>
        </w:rPr>
        <w:t>Ambito sui Piani Base e Plus.</w:t>
      </w:r>
      <w:r>
        <w:t xml:space="preserve"> Sui Piani Base e Plus, nei quali lo Specialista interviene solo per i casi di garanzia, i tempi di Reazione dello Specialista si applicano ai Ticket relativi a casi anche solo potenzialmente in garanzia e ai Guasti critici, per la diagnosi iniziale e la verifica della copertura in garanzia. Le altre Richieste sono gestite dagli Agenti IA.</w:t>
      </w:r>
    </w:p>
    <w:p>
      <w:r>
        <w:t xml:space="preserve">8.2. </w:t>
      </w:r>
      <w:r>
        <w:rPr>
          <w:b/>
        </w:rPr>
        <w:t>Guasto critico sui Piani Base, Plus e Pro.</w:t>
      </w:r>
      <w:r>
        <w:t xml:space="preserve"> Il termine di 1 ora decorre e si computa </w:t>
      </w:r>
      <w:r>
        <w:rPr>
          <w:b/>
        </w:rPr>
        <w:t>solo nell'Orario di assistenza</w:t>
      </w:r>
      <w:r>
        <w:t xml:space="preserve"> (lunedì–venerdì, 9:00–18:00, Giorni lavorativi). Ad esempio, un Guasto critico segnalato venerdì alle 17:30 è preso in carico entro le 9:30 del Giorno lavorativo successivo. </w:t>
      </w:r>
      <w:r>
        <w:rPr>
          <w:b/>
        </w:rPr>
        <w:t>Solo sul Piano Individuale</w:t>
      </w:r>
      <w:r>
        <w:t xml:space="preserve"> il termine di 1 ora per i Guasti critici si applica 24 ore su 24, 7 giorni su 7.</w:t>
      </w:r>
    </w:p>
    <w:p>
      <w:r>
        <w:t xml:space="preserve">8.3. </w:t>
      </w:r>
      <w:r>
        <w:rPr>
          <w:b/>
        </w:rPr>
        <w:t>Risoluzione.</w:t>
      </w:r>
      <w:r>
        <w:t xml:space="preserve"> I tempi di Risoluzione non sono garantiti. CLARYEL si adopera per la Risoluzione nel minor tempo ragionevolmente possibile in base alla priorità. Sul Piano Individuale la sostituzione rapida dell'hardware ha l'</w:t>
      </w:r>
      <w:r>
        <w:rPr>
          <w:b/>
        </w:rPr>
        <w:t>obiettivo</w:t>
      </w:r>
      <w:r>
        <w:t>, non garantito, di sostituire la Box entro 24 ore, secondo le condizioni concordate individualmente.</w:t>
      </w:r>
    </w:p>
    <w:p>
      <w:pPr>
        <w:pStyle w:val="Heading1"/>
      </w:pPr>
      <w:r>
        <w:t>9. Misurazione dei tempi</w:t>
      </w:r>
    </w:p>
    <w:p>
      <w:r>
        <w:t>9.1. Il tempo decorre dalla registrazione del Ticket nel sistema di CLARYEL: per l'email dalla ricezione sui sistemi di posta di CLARYEL, per i messaggi dalla ricezione sul canale. Le Richieste ricevute fuori dall'Orario di assistenza si considerano ricevute all'inizio dell'Orario di assistenza successivo, salvi i Guasti critici del Piano Individuale.</w:t>
      </w:r>
    </w:p>
    <w:p>
      <w:r>
        <w:t xml:space="preserve">9.2. Il tempo si misura in </w:t>
      </w:r>
      <w:r>
        <w:rPr>
          <w:b/>
        </w:rPr>
        <w:t>Ore lavorative</w:t>
      </w:r>
      <w:r>
        <w:t xml:space="preserve"> per i Ticket P2–P4 e per i Guasti critici sui Piani Base, Plus e Pro, e in </w:t>
      </w:r>
      <w:r>
        <w:rPr>
          <w:b/>
        </w:rPr>
        <w:t>ore solari continue</w:t>
      </w:r>
      <w:r>
        <w:t xml:space="preserve"> per i Guasti critici sul Piano Individuale. Il riferimento orario è Europe/Rome.</w:t>
      </w:r>
    </w:p>
    <w:p>
      <w:r>
        <w:t>9.3. Il conteggio si arresta con la Reazione dello Specialista e resta sospeso mentre CLARYEL attende informazioni, accesso o azioni del Cliente.</w:t>
      </w:r>
    </w:p>
    <w:p>
      <w:r>
        <w:t>9.4. Il rispetto dei tempi è verificato sui registri del sistema di ticketing di CLARYEL; il Cliente può richiedere i dati relativi ai propri Ticket.</w:t>
      </w:r>
    </w:p>
    <w:p>
      <w:pPr>
        <w:pStyle w:val="Heading1"/>
      </w:pPr>
      <w:r>
        <w:t>10. Assistenza da remoto</w:t>
      </w:r>
    </w:p>
    <w:p>
      <w:r>
        <w:t xml:space="preserve">10.1. L'assistenza è prestata </w:t>
      </w:r>
      <w:r>
        <w:rPr>
          <w:b/>
        </w:rPr>
        <w:t>da remoto</w:t>
      </w:r>
      <w:r>
        <w:t xml:space="preserve">, solo su richiesta e con il </w:t>
      </w:r>
      <w:r>
        <w:rPr>
          <w:b/>
        </w:rPr>
        <w:t>consenso del Cliente</w:t>
      </w:r>
      <w:r>
        <w:t xml:space="preserve"> per ciascuna sessione. Prima di ogni sessione di CLARYEL o di terzi le partizioni cifrate che contengono i dati personali vengono bloccate e i dati personali cifrati non sono accessibili all'assistenza. Ai trattamenti di dati eventualmente svolti si applica l'Allegato B delle CGV.</w:t>
      </w:r>
    </w:p>
    <w:p>
      <w:r>
        <w:t>10.2. Sul Livello 1 la gestione remota del sistema e la gestione a livello hardware sono funzioni opzionali; senza di esse l'assistenza si svolge con le modalità di collegamento disponibili o con istruzioni al Cliente. Sul Livello 2 la gestione a livello hardware tramite Intel vPro, incluso l'accesso al BIOS, avviene con il permesso del Cliente.</w:t>
      </w:r>
    </w:p>
    <w:p>
      <w:r>
        <w:t xml:space="preserve">10.3. </w:t>
      </w:r>
      <w:r>
        <w:rPr>
          <w:b/>
        </w:rPr>
        <w:t>Sospensione e accensione.</w:t>
      </w:r>
      <w:r>
        <w:t xml:space="preserve"> Le Box di Livello 1 e 2 sono consegnate con la sospensione automatica attivata (art. 3.6 CGV). Per una sessione di assistenza da remoto la Box deve essere accesa o riattivabile dalla rete locale (Wake on LAN), se il Cliente ha attivato tale funzione. CLARYEL non modifica le impostazioni di gestione dell'alimentazione senza la richiesta del Cliente. Una Box in sospensione o spenta secondo le impostazioni configurate non costituisce Guasto e non è «non raggiungibile» ai fini della definizione di Guasto critico (§ 2).</w:t>
      </w:r>
    </w:p>
    <w:p>
      <w:r>
        <w:t>10.4. Quando la diagnosi da remoto non è sufficiente, CLARYEL può chiedere il rientro della Box o del componente; per gli Interventi in garanzia si applica l'art. 13 CGV.</w:t>
      </w:r>
    </w:p>
    <w:p>
      <w:pPr>
        <w:pStyle w:val="Heading1"/>
      </w:pPr>
      <w:r>
        <w:t>11. Manutenzione e aggiornamenti</w:t>
      </w:r>
    </w:p>
    <w:p>
      <w:r>
        <w:t>11.1. Gli aggiornamenti di sicurezza e del firmware sono resi disponibili a tutti i Clienti (§ 1.2(b)). Nei Piani a pagamento CLARYEL ne assiste o esegue l'installazione da remoto, con il consenso del Cliente.</w:t>
      </w:r>
    </w:p>
    <w:p>
      <w:r>
        <w:t>11.2. Gli interventi programmati sono eseguiti in Finestre di manutenzione concordate con il Cliente o comunicate con almeno 2 Giorni lavorativi di preavviso; gli aggiornamenti di sicurezza urgenti possono essere proposti con un preavviso più breve.</w:t>
      </w:r>
    </w:p>
    <w:p>
      <w:r>
        <w:t>11.3. Prima degli interventi il Cliente verifica di disporre di un backup aggiornato.</w:t>
      </w:r>
    </w:p>
    <w:p>
      <w:pPr>
        <w:pStyle w:val="Heading1"/>
      </w:pPr>
      <w:r>
        <w:t>12. Vulnerabilità e incidenti di sicurezza</w:t>
      </w:r>
    </w:p>
    <w:p>
      <w:r>
        <w:t>12.1. Il Cliente segnala senza ritardo vulnerabilità o incidenti sospetti come Guasto critico (P1), anche all'indirizzo amministrazione@claryel.it con oggetto «SICUREZZA».</w:t>
      </w:r>
    </w:p>
    <w:p>
      <w:r>
        <w:t>12.2. CLARYEL gestisce le vulnerabilità della Box, notifica le vulnerabilità attivamente sfruttate e gli incidenti gravi secondo l'art. 14 CRA e informa i Clienti interessati delle misure di attenuazione e correttive (art. 14, par. 8, CRA), indipendentemente dal Piano. Se il produttore di un componente cessa di pubblicare aggiornamenti del firmware, CLARYEL ne informa il Cliente e adotta misure compensative a livello di sistema operativo e di configurazione.</w:t>
      </w:r>
    </w:p>
    <w:p>
      <w:r>
        <w:t>12.3. Se il Cliente è un soggetto NIS2 (D.Lgs. 138/2024), CLARYEL coopera fornendo le informazioni ragionevolmente necessarie per le sue misure relative alla catena di approvvigionamento (art. 24, comma 2, lett. d)) e per le notifiche (art. 25). Quando CLARYEL agisce come responsabile del trattamento, informa il Cliente delle violazioni di dati personali senza ingiustificato ritardo e comunque entro 48 ore dal momento in cui ne viene a conoscenza (Allegato B delle CGV; art. 33 GDPR).</w:t>
      </w:r>
    </w:p>
    <w:p>
      <w:r>
        <w:t>12.4. Il Cliente installa gli aggiornamenti o ne consente l'installazione, non disattiva le misure di sicurezza e custodisce le chiavi di riserva della cifratura d'emergenza; senza di esse CLARYEL non può ripristinare l'accesso ai dati cifrati.</w:t>
      </w:r>
    </w:p>
    <w:p>
      <w:pPr>
        <w:pStyle w:val="Heading1"/>
      </w:pPr>
      <w:r>
        <w:t>13. Esclusioni</w:t>
      </w:r>
    </w:p>
    <w:p>
      <w:r>
        <w:t>I tempi di Reazione non si applicano, e CLARYEL non risponde di ritardi o mancati interventi, nei casi di:</w:t>
      </w:r>
    </w:p>
    <w:p>
      <w:pPr>
        <w:pStyle w:val="ListBullet"/>
      </w:pPr>
      <w:r>
        <w:t xml:space="preserve">(a) </w:t>
      </w:r>
      <w:r>
        <w:rPr>
          <w:b/>
        </w:rPr>
        <w:t>mancato pagamento</w:t>
      </w:r>
      <w:r>
        <w:t xml:space="preserve"> del Piano: si applica il § 17;</w:t>
      </w:r>
    </w:p>
    <w:p>
      <w:pPr>
        <w:pStyle w:val="ListBullet"/>
      </w:pPr>
      <w:r>
        <w:t xml:space="preserve">(b) problemi di </w:t>
      </w:r>
      <w:r>
        <w:rPr>
          <w:b/>
        </w:rPr>
        <w:t>rete, connettività, alimentazione elettrica</w:t>
      </w:r>
      <w:r>
        <w:t>, ambiente (temperatura, ventilazione, umidità) o altre infrastrutture del Cliente;</w:t>
      </w:r>
    </w:p>
    <w:p>
      <w:pPr>
        <w:pStyle w:val="ListBullet"/>
      </w:pPr>
      <w:r>
        <w:t xml:space="preserve">(c) </w:t>
      </w:r>
      <w:r>
        <w:rPr>
          <w:b/>
        </w:rPr>
        <w:t>modifiche non autorizzate</w:t>
      </w:r>
      <w:r>
        <w:t xml:space="preserve"> di hardware, firmware o configurazione, rimozione di componenti, software installato dal Cliente fuori dall'ambito del Piano;</w:t>
      </w:r>
    </w:p>
    <w:p>
      <w:pPr>
        <w:pStyle w:val="ListBullet"/>
      </w:pPr>
      <w:r>
        <w:t>(d) uso improprio, danni accidentali, sovratensioni, eventi esterni;</w:t>
      </w:r>
    </w:p>
    <w:p>
      <w:pPr>
        <w:pStyle w:val="ListBullet"/>
      </w:pPr>
      <w:r>
        <w:t xml:space="preserve">(e) </w:t>
      </w:r>
      <w:r>
        <w:rPr>
          <w:b/>
        </w:rPr>
        <w:t>forza maggiore</w:t>
      </w:r>
      <w:r>
        <w:t xml:space="preserve"> (art. 22 CGV);</w:t>
      </w:r>
    </w:p>
    <w:p>
      <w:pPr>
        <w:pStyle w:val="ListBullet"/>
      </w:pPr>
      <w:r>
        <w:t xml:space="preserve">(f) servizi, software, modelli o piattaforme di </w:t>
      </w:r>
      <w:r>
        <w:rPr>
          <w:b/>
        </w:rPr>
        <w:t>terzi</w:t>
      </w:r>
      <w:r>
        <w:t xml:space="preserve"> (inclusi fornitori di connettività, servizi cloud del Cliente, servizi di messaggistica) e loro indisponibilità;</w:t>
      </w:r>
    </w:p>
    <w:p>
      <w:pPr>
        <w:pStyle w:val="ListBullet"/>
      </w:pPr>
      <w:r>
        <w:t>(g) mancata concessione dell'accesso remoto, mancata collaborazione o informazioni insufficienti da parte del Cliente;</w:t>
      </w:r>
    </w:p>
    <w:p>
      <w:pPr>
        <w:pStyle w:val="ListBullet"/>
      </w:pPr>
      <w:r>
        <w:t>(h) mancata installazione degli aggiornamenti resi disponibili;</w:t>
      </w:r>
    </w:p>
    <w:p>
      <w:pPr>
        <w:pStyle w:val="ListBullet"/>
      </w:pPr>
      <w:r>
        <w:t>(i) perdita delle chiavi di cifratura o delle credenziali da parte del Cliente;</w:t>
      </w:r>
    </w:p>
    <w:p>
      <w:pPr>
        <w:pStyle w:val="ListBullet"/>
      </w:pPr>
      <w:r>
        <w:t>(j) Finestre di manutenzione;</w:t>
      </w:r>
    </w:p>
    <w:p>
      <w:pPr>
        <w:pStyle w:val="ListBullet"/>
      </w:pPr>
      <w:r>
        <w:t>(k) Richieste estranee al Piano sottoscritto.</w:t>
      </w:r>
    </w:p>
    <w:p>
      <w:pPr>
        <w:pStyle w:val="Heading1"/>
      </w:pPr>
      <w:r>
        <w:t>14. Obblighi del Cliente</w:t>
      </w:r>
    </w:p>
    <w:p>
      <w:r>
        <w:t>Il Cliente: (a) indica uno o più referenti tecnici con recapiti aggiornati; (b) consente l'accesso remoto quando necessario e da lui autorizzato; (c) garantisce alimentazione elettrica stabile (si raccomanda un gruppo di continuità), connettività di rete adeguata e ambiente idoneo; (d) mantiene backup aggiornati, anche esterni alla Box; (e) non esegue modifiche hardware non autorizzate; (f) fornisce informazioni complete (descrizione, screenshot, messaggi di errore); (g) rispetta le licenze del Software di Terzi e dei modelli di IA (art. 14 CGV); (h) utilizza i Canali ufficiali; (i) comunica per iscritto, prima della sottoscrizione, eventuali requisiti particolari, inclusi quelli derivanti dalla normativa NIS2.</w:t>
      </w:r>
    </w:p>
    <w:p>
      <w:pPr>
        <w:pStyle w:val="Heading1"/>
      </w:pPr>
      <w:r>
        <w:t>15. Escalation</w:t>
      </w:r>
    </w:p>
    <w:p>
      <w:pPr>
        <w:pStyle w:val="ListBullet"/>
      </w:pPr>
      <w:r>
        <w:rPr>
          <w:b/>
        </w:rPr>
        <w:t>Livello 1 — Agenti IA (24/7):</w:t>
      </w:r>
      <w:r>
        <w:t xml:space="preserve"> registrazione del Ticket, prima diagnosi, istruzioni.</w:t>
      </w:r>
    </w:p>
    <w:p>
      <w:pPr>
        <w:pStyle w:val="ListBullet"/>
      </w:pPr>
      <w:r>
        <w:rPr>
          <w:b/>
        </w:rPr>
        <w:t>Livello 2 — Specialista:</w:t>
      </w:r>
      <w:r>
        <w:t xml:space="preserve"> Reazione nei tempi del § 8.</w:t>
      </w:r>
    </w:p>
    <w:p>
      <w:pPr>
        <w:pStyle w:val="ListBullet"/>
      </w:pPr>
      <w:r>
        <w:rPr>
          <w:b/>
        </w:rPr>
        <w:t>Livello 3 — Responsabile tecnico o amministratore unico di CLARYEL:</w:t>
      </w:r>
      <w:r>
        <w:t xml:space="preserve"> per Guasti critici non presi in carico nei tempi, disaccordi sulla priorità o reclami, con richiesta all'indirizzo amministrazione@claryel.it con oggetto "ESCALATION" e numero di Ticket, o via PEC per le contestazioni formali. CLARYEL risponde alle richieste di escalation entro 1 Giorno lavorativo.</w:t>
      </w:r>
    </w:p>
    <w:p>
      <w:pPr>
        <w:pStyle w:val="Heading1"/>
      </w:pPr>
      <w:r>
        <w:t>16. Corrispettivi, fatturazione e pagamento</w:t>
      </w:r>
    </w:p>
    <w:p>
      <w:r>
        <w:t xml:space="preserve">16.1. I Piani a pagamento si pagano </w:t>
      </w:r>
      <w:r>
        <w:rPr>
          <w:b/>
        </w:rPr>
        <w:t>in anticipo</w:t>
      </w:r>
      <w:r>
        <w:t>, mensilmente o annualmente, su fattura elettronica (FatturaPA tramite SdI) emessa dopo la conferma, entro l'inizio del periodo cui si riferiscono, con le modalità indicate in fattura.</w:t>
      </w:r>
    </w:p>
    <w:p>
      <w:r>
        <w:t xml:space="preserve">16.2. Il servizio è </w:t>
      </w:r>
      <w:r>
        <w:rPr>
          <w:b/>
        </w:rPr>
        <w:t>prepagato</w:t>
      </w:r>
      <w:r>
        <w:t>: l'erogazione dei servizi del Piano per ciascun periodo (mese o anno) è subordinata al pagamento del relativo canone. CLARYEL invia di norma un promemoria prima della scadenza.</w:t>
      </w:r>
    </w:p>
    <w:p>
      <w:r>
        <w:t>16.3. In caso di ritardo si applicano gli interessi moratori e l'importo forfettario di 40 € (artt. 4, 5 e 6 D.Lgs. 231/2002; art. 6 CGV).</w:t>
      </w:r>
    </w:p>
    <w:p>
      <w:pPr>
        <w:pStyle w:val="Heading1"/>
      </w:pPr>
      <w:r>
        <w:t>17. Mancato pagamento: interruzione immediata</w:t>
      </w:r>
    </w:p>
    <w:p>
      <w:r>
        <w:t xml:space="preserve">17.1. </w:t>
      </w:r>
      <w:r>
        <w:rPr>
          <w:b/>
        </w:rPr>
        <w:t>Se il canone non è pagato alla scadenza, i servizi del Piano si interrompono immediatamente</w:t>
      </w:r>
      <w:r>
        <w:t xml:space="preserve">, ai sensi dell'art. 1460 c.c. e del § 16.2. L'interruzione riguarda tutti i servizi di assistenza e consulenza, </w:t>
      </w:r>
      <w:r>
        <w:rPr>
          <w:b/>
        </w:rPr>
        <w:t>compresi quelli del Piano Base</w:t>
      </w:r>
      <w:r>
        <w:t>, fino alla regolarizzazione dei pagamenti.</w:t>
      </w:r>
    </w:p>
    <w:p>
      <w:r>
        <w:t xml:space="preserve">17.2. </w:t>
      </w:r>
      <w:r>
        <w:rPr>
          <w:b/>
        </w:rPr>
        <w:t>Restano dovuti esclusivamente</w:t>
      </w:r>
      <w:r>
        <w:t>: la garanzia legale e la garanzia convenzionale (artt. 12–13 CGV) e gli aggiornamenti obbligatori di sicurezza e del firmware con le relative comunicazioni di sicurezza (art. 15 CGV).</w:t>
      </w:r>
    </w:p>
    <w:p>
      <w:r>
        <w:t>17.3. Il servizio riprende entro 1 Giorno lavorativo dall'accredito delle somme dovute. I periodi non pagati non danno diritto a prestazioni.</w:t>
      </w:r>
    </w:p>
    <w:p>
      <w:r>
        <w:t xml:space="preserve">17.4. </w:t>
      </w:r>
      <w:r>
        <w:rPr>
          <w:b/>
        </w:rPr>
        <w:t>Clausola risolutiva espressa (art. 1456 c.c.).</w:t>
      </w:r>
      <w:r>
        <w:t xml:space="preserve"> Se il mancato pagamento perdura oltre 15 giorni dalla scadenza, CLARYEL può dichiarare risolto il contratto del Piano mediante comunicazione via PEC con cui dichiara di valersi della presente clausola; resta dovuto quanto maturato.</w:t>
      </w:r>
    </w:p>
    <w:p>
      <w:pPr>
        <w:pStyle w:val="Heading1"/>
      </w:pPr>
      <w:r>
        <w:t>18. Durata, rinnovo, disdetta, cessazione</w:t>
      </w:r>
    </w:p>
    <w:p>
      <w:r>
        <w:t xml:space="preserve">18.1. </w:t>
      </w:r>
      <w:r>
        <w:rPr>
          <w:b/>
        </w:rPr>
        <w:t>Durata.</w:t>
      </w:r>
      <w:r>
        <w:t xml:space="preserve"> Il Piano a pagamento ha durata mensile o annuale, secondo la scelta del Cliente, con decorrenza dall'attivazione.</w:t>
      </w:r>
    </w:p>
    <w:p>
      <w:r>
        <w:t xml:space="preserve">18.2. </w:t>
      </w:r>
      <w:r>
        <w:rPr>
          <w:b/>
        </w:rPr>
        <w:t>Rinnovo automatico.</w:t>
      </w:r>
      <w:r>
        <w:t xml:space="preserve"> Alla scadenza il Piano si rinnova automaticamente per un periodo di pari durata (mese o anno), subordinatamente al pagamento anticipato del canone (§ 16).</w:t>
      </w:r>
    </w:p>
    <w:p>
      <w:r>
        <w:t xml:space="preserve">18.3. </w:t>
      </w:r>
      <w:r>
        <w:rPr>
          <w:b/>
        </w:rPr>
        <w:t>Disdetta.</w:t>
      </w:r>
      <w:r>
        <w:t xml:space="preserve"> Il Cliente può disdire il Piano </w:t>
      </w:r>
      <w:r>
        <w:rPr>
          <w:b/>
        </w:rPr>
        <w:t>in qualsiasi momento</w:t>
      </w:r>
      <w:r>
        <w:t xml:space="preserve">, via email o PEC, </w:t>
      </w:r>
      <w:r>
        <w:rPr>
          <w:b/>
        </w:rPr>
        <w:t>senza penali</w:t>
      </w:r>
      <w:r>
        <w:t>; la disdetta ha effetto alla fine del periodo già pagato e il Piano non si rinnova. Non sono previsti rimborsi per il periodo in corso.</w:t>
      </w:r>
    </w:p>
    <w:p>
      <w:r>
        <w:t xml:space="preserve">18.4. </w:t>
      </w:r>
      <w:r>
        <w:rPr>
          <w:b/>
        </w:rPr>
        <w:t>Recesso di CLARYEL.</w:t>
      </w:r>
      <w:r>
        <w:t xml:space="preserve"> CLARYEL può recedere con preavviso di almeno 30 giorni, rimborsando la quota del canone prepagato relativa al periodo successivo alla cessazione (art. 1373 c.c.).</w:t>
      </w:r>
    </w:p>
    <w:p>
      <w:r>
        <w:t xml:space="preserve">18.5. </w:t>
      </w:r>
      <w:r>
        <w:rPr>
          <w:b/>
        </w:rPr>
        <w:t>Cessazione.</w:t>
      </w:r>
      <w:r>
        <w:t xml:space="preserve"> Alla cessazione di un Piano a pagamento cessano i relativi servizi e sono revocati gli accessi remoti di CLARYEL. Se la cessazione non dipende da mancato pagamento, il Cliente torna al Piano Base. Restano in ogni caso ferme la garanzia sulla Box, gli aggiornamenti di sicurezza e del firmware (art. 15 CGV) e le informazioni di prodotto pubblicate sul sito. Il Cliente rimane titolare della Box e dei propri dati.</w:t>
      </w:r>
    </w:p>
    <w:p>
      <w:r>
        <w:t>18.6. La cessione della Box a terzi non trasferisce il Piano a pagamento, salvo accordo scritto.</w:t>
      </w:r>
    </w:p>
    <w:p>
      <w:pPr>
        <w:pStyle w:val="Heading1"/>
      </w:pPr>
      <w:r>
        <w:t>19. Modifiche dello SLA</w:t>
      </w:r>
    </w:p>
    <w:p>
      <w:r>
        <w:t>19.1. CLARYEL può modificare lo SLA con preavviso di almeno 30 giorni via email. Le modifiche peggiorative si applicano dal rinnovo successivo e il Cliente può disdire prima che abbiano effetto; le modifiche migliorative possono applicarsi immediatamente.</w:t>
      </w:r>
    </w:p>
    <w:p>
      <w:pPr>
        <w:pStyle w:val="Heading1"/>
      </w:pPr>
      <w:r>
        <w:t>20. Rinvio</w:t>
      </w:r>
    </w:p>
    <w:p>
      <w:r>
        <w:t>20.1. Per riservatezza, proprietà intellettuale, forza maggiore, comunicazioni, legge applicabile (italiana) e foro esclusivo di Como si rinvia alle CGV.</w:t>
      </w:r>
    </w:p>
    <w:p>
      <w:pPr>
        <w:pStyle w:val="Heading1"/>
      </w:pPr>
      <w:r>
        <w:t>Approvazione specifica ai sensi degli artt. 1341 e 1342 c.c.</w:t>
      </w:r>
    </w:p>
    <w:p>
      <w:r>
        <w:t>Il Cliente approva specificamente: § 3 (assenza di garanzia di disponibilità); § 8.3 (tempi di risoluzione non garantiti); § 9.3 (sospensione del conteggio dei tempi); § 13 (esclusioni); § 17 (interruzione immediata del servizio e clausola risolutiva espressa); § 18.2 (rinnovo automatico); § 18.3 (assenza di rimborsi per il periodo in corso); § 18.4 (recesso di CLARYEL); § 19 (modifiche); § 20 (foro esclusivo di Como, per rinvio alle CGV).</w:t>
      </w:r>
    </w:p>
    <w:p>
      <w:r>
        <w:rPr>
          <w:b/>
        </w:rPr>
        <w:t>Modalità di approvazione.</w:t>
      </w:r>
      <w:r>
        <w:t xml:space="preserve"> L'approvazione specifica avviene mediante sottoscrizione separata del presente elenco, distinta dall'accettazione dello SLA, con firma autografa, firma elettronica o firma digitale; negli ordini online, mediante un'apposita casella dedicata esclusivamente al presente elenco e mediante sottoscrizione del modulo d'ordine con firma elettronica o digitale oppure sua trasmissione firmata via PEC.</w:t>
      </w:r>
    </w:p>
    <w:p>
      <w:r>
        <w:t>Luogo e data ______________________ Timbro e firma del Cliente ______________________</w:t>
      </w:r>
    </w:p>
    <w:p>
      <w:pPr>
        <w:pStyle w:val="Heading1"/>
      </w:pPr>
      <w:r>
        <w:t>Riferimenti normativi</w:t>
      </w:r>
    </w:p>
    <w:p>
      <w:pPr>
        <w:pStyle w:val="ListBullet"/>
      </w:pPr>
      <w:r>
        <w:t>Codice civile, artt. 1341, 1342, 1373, 1456, 1460: https://www.normattiva.it/uri-res/N2Ls?urn:nir:stato:regio.decreto:1942-03-16;262:2</w:t>
      </w:r>
    </w:p>
    <w:p>
      <w:pPr>
        <w:pStyle w:val="ListBullet"/>
      </w:pPr>
      <w:r>
        <w:t>D.Lgs. 9 ottobre 2002, n. 231: https://www.normattiva.it/uri-res/N2Ls?urn:nir:stato:decreto.legislativo:2002-10-09;231</w:t>
      </w:r>
    </w:p>
    <w:p>
      <w:pPr>
        <w:pStyle w:val="ListBullet"/>
      </w:pPr>
      <w:r>
        <w:t>Reg. (UE) 2024/1689 (AI Act): https://eur-lex.europa.eu/legal-content/IT/TXT/HTML/?uri=CELEX:32024R1689</w:t>
      </w:r>
    </w:p>
    <w:p>
      <w:pPr>
        <w:pStyle w:val="ListBullet"/>
      </w:pPr>
      <w:r>
        <w:t>Reg. (UE) 2024/2847 (Cyber Resilience Act): https://eur-lex.europa.eu/legal-content/IT/TXT/HTML/?uri=CELEX:32024R2847</w:t>
      </w:r>
    </w:p>
    <w:p>
      <w:pPr>
        <w:pStyle w:val="ListBullet"/>
      </w:pPr>
      <w:r>
        <w:t>Reg. (UE) n. 617/2013 (progettazione ecocompatibile dei computer — Livelli 1 e 2): https://eur-lex.europa.eu/legal-content/IT/TXT/HTML/?uri=CELEX:32013R0617</w:t>
      </w:r>
    </w:p>
    <w:p>
      <w:pPr>
        <w:pStyle w:val="ListBullet"/>
      </w:pPr>
      <w:r>
        <w:t>D.Lgs. 4 settembre 2024, n. 138 (NIS2): https://www.normattiva.it/uri-res/N2Ls?urn:nir:stato:decreto.legislativo:2024-09-04;138</w:t>
      </w:r>
    </w:p>
    <w:p>
      <w:pPr>
        <w:pStyle w:val="ListBullet"/>
      </w:pPr>
      <w:r>
        <w:t>Reg. (UE) 2016/679 (GDPR): https://eur-lex.europa.eu/eli/reg/2016/679/oj</w:t>
      </w:r>
    </w:p>
    <w:p>
      <w:pPr>
        <w:pStyle w:val="Heading1"/>
      </w:pPr>
      <w:r>
        <w:t>Registro delle modifiche</w:t>
      </w:r>
    </w:p>
    <w:p>
      <w:r>
        <w:rPr>
          <w:b/>
        </w:rPr>
        <w:t>Versione 1.3.3 del 18.10.2026</w:t>
      </w:r>
      <w:r>
        <w:t xml:space="preserve"> — revisione redazionale; sostituisce la versione 1.3.2</w:t>
      </w:r>
    </w:p>
    <w:p>
      <w:r>
        <w:rPr>
          <w:b/>
        </w:rPr>
        <w:t>Versione 1.3.2 del 18.10.2026</w:t>
      </w:r>
      <w:r>
        <w:t xml:space="preserve"> — v1.3.2 — modifica redazionale: denominazione promozione</w:t>
      </w:r>
    </w:p>
    <w:p>
      <w:r>
        <w:rPr>
          <w:b/>
        </w:rPr>
        <w:t>Versione 1.3 del 18.10.2026</w:t>
      </w:r>
      <w:r>
        <w:t xml:space="preserve"> (rispetto alla versione 1.2 del 18.10.2026):</w:t>
      </w:r>
    </w:p>
    <w:p>
      <w:pPr>
        <w:pStyle w:val="ListBullet"/>
      </w:pPr>
      <w:r>
        <w:t>§ 1.2(b): richiamati gli artt. 13, par. 8, e 14 CRA; precisato che per i Livelli 1 e 2 gli aggiornamenti e la cancellazione sicura sono impegni volontari di CLARYEL che non derivano dal Reg. (UE) n. 617/2013; per il Livello 3 e superiori si applica inoltre, ove applicabile, il Reg. (UE) 2019/424.</w:t>
      </w:r>
    </w:p>
    <w:p>
      <w:pPr>
        <w:pStyle w:val="ListBullet"/>
      </w:pPr>
      <w:r>
        <w:t>§ 10.3 (nuovo): sospensione automatica attivata alla consegna; assistenza da remoto con Box accesa o riattivabile via Wake on LAN; nessuna modifica della gestione dell'alimentazione senza richiesta del Cliente; la sospensione configurata non è un Guasto. Il precedente § 10.3 diventa § 10.4.</w:t>
      </w:r>
    </w:p>
    <w:p>
      <w:pPr>
        <w:pStyle w:val="ListBullet"/>
      </w:pPr>
      <w:r>
        <w:t>Riferimenti normativi: aggiunto il Reg. (UE) n. 617/2013.</w:t>
      </w:r>
    </w:p>
    <w:p>
      <w:pPr>
        <w:pStyle w:val="ListBullet"/>
      </w:pPr>
      <w:r>
        <w:t>§ 4.3, promozione «Prime 10 vendite»: nuovo testo «Sei mesi del piano Individuale, che altrimenti parte da 500 € al mese: i primi 3 mesi sono gratuiti, poi 3 mesi alla tariffa minima a pagamento di 29,99 €: in totale 89,97 € per sei mesi» (versione 1.2: primo mese gratuito, poi 5 mesi a 29,99 €, in totale 149,95 €). La promozione «Offerta di lancio» resta invariata (primo mese gratuito). Il testo «Prime 10 vendite» mantiene l'inciso «che altrimenti parte da 500 € al mese», come sul sito. Aggiunta la prevalenza del § 4.3 in caso di differenza con il sito.</w:t>
      </w:r>
    </w:p>
    <w:p>
      <w:pPr>
        <w:pStyle w:val="ListBullet"/>
      </w:pPr>
      <w:r>
        <w:t>Nessuna altra modifica a Piani, prezzi, tempi di reazione, esclusioni, pagamenti e durata.</w:t>
      </w:r>
    </w:p>
    <w:p>
      <w:r>
        <w:rPr>
          <w:b/>
        </w:rPr>
        <w:t>Versione 1.2 del 18.10.2026:</w:t>
      </w:r>
      <w:r>
        <w:t xml:space="preserve"> versione precedente.</w:t>
      </w:r>
    </w:p>
    <w:sectPr w:rsidR="00FC693F" w:rsidRPr="0006063C" w:rsidSect="00034616">
      <w:headerReference w:type="default" r:id="rId9"/>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55555"/>
        <w:sz w:val="16"/>
      </w:rPr>
      <w:t>CLARYEL SRLS — P.IVA 04258140138 — Versione 1.3.3 del 18.10.2026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 assistenza — CLARYEL Box — v1.3.3</dc:title>
  <dc:subject/>
  <dc:creator>CLARYEL SRLS</dc:creator>
  <cp:keywords/>
  <dc:description/>
  <cp:lastModifiedBy/>
  <cp:revision>1</cp:revision>
  <dcterms:created xsi:type="dcterms:W3CDTF">2026-10-18T00:00:00Z</dcterms:created>
  <dcterms:modified xsi:type="dcterms:W3CDTF">2026-10-18T00:00:00Z</dcterms:modified>
  <cp:category/>
</cp:coreProperties>
</file>